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21.11.2023 N 880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29.01.36 Мастер полиграфического производства"</w:t>
              <w:br/>
              <w:t xml:space="preserve">(Зарегистрировано в Минюсте России 21.12.2023 N 76541)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декабря 2023 г. N 76541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ноября 2023 г. N 880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29.01.36 МАСТЕР ПОЛИГРАФИЧЕСКОГО ПРОИЗВОДСТВА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29.01.36 Мастер полиграфического производства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02.08.2013 N 759 (ред. от 13.07.2021) &quot;Об утверждении федерального государственного образовательного стандарта среднего профессионального образования по профессии 261701.04 Печатник плоской печати&quot; (Зарегистрировано в Минюсте России 20.08.2013 N 29535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</w:t>
      </w:r>
      <w:hyperlink w:history="0" r:id="rId10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261701.04</w:t>
        </w:r>
      </w:hyperlink>
      <w:r>
        <w:rPr>
          <w:sz w:val="20"/>
        </w:rPr>
        <w:t xml:space="preserve"> Печатник плоской печати, утвержденным приказом Министерства образования и науки Российской Федерации от 2 августа 2013 г. N 759 (зарегистрирован Министерством юстиции Российской Федерации 20 августа 2013 г., регистрационный N 29535),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федеральным государственным образовательным </w:t>
      </w:r>
      <w:hyperlink w:history="0" r:id="rId11" w:tooltip="Приказ Минобрнауки России от 02.08.2013 N 768 (ред. от 13.07.2021) &quot;Об утверждении федерального государственного образовательного стандарта среднего профессионального образования по профессии 261701.05 Мастер печатного дела&quot; (Зарегистрировано в Минюсте России 20.08.2013 N 29552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</w:t>
      </w:r>
      <w:hyperlink w:history="0" r:id="rId12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261701.05</w:t>
        </w:r>
      </w:hyperlink>
      <w:r>
        <w:rPr>
          <w:sz w:val="20"/>
        </w:rPr>
        <w:t xml:space="preserve"> Мастер печатного дела, утвержденным приказом Министерства образования и науки Российской Федерации от 2 августа 2013 г. N 768 (зарегистрирован Министерством юстиции Российской Федерации 20 августа 2013 г., регистрационный N 29552),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федеральным государственным образовательным </w:t>
      </w:r>
      <w:hyperlink w:history="0" r:id="rId13" w:tooltip="Приказ Минобрнауки России от 02.08.2013 N 769 (ред. от 13.07.2021) &quot;Об утверждении федерального государственного образовательного стандарта среднего профессионального образования по профессии 261701.02 Оператор электронного набора и верстки&quot; (Зарегистрировано в Минюсте России 20.08.2013 N 29544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</w:t>
      </w:r>
      <w:hyperlink w:history="0" r:id="rId14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261701.02</w:t>
        </w:r>
      </w:hyperlink>
      <w:r>
        <w:rPr>
          <w:sz w:val="20"/>
        </w:rPr>
        <w:t xml:space="preserve"> Оператор электронного набора и верстки, утвержденным приказом Министерства образования и науки Российской Федерации от 2 августа 2013 г. N 769 (зарегистрирован Министерством юстиции Российской Федерации 20 августа 2013 г., регистрационный N 29544),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w:history="0" r:id="rId15" w:tooltip="Приказ Минобрнауки России от 02.08.2013 N 797 (ред. от 13.07.2021) &quot;Об утверждении федерального государственного образовательного стандарта среднего профессионального образования по профессии 261701.03 Переплетчик&quot; (Зарегистрировано в Минюсте России 20.08.2013 N 29642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</w:t>
      </w:r>
      <w:hyperlink w:history="0" r:id="rId16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261701.03</w:t>
        </w:r>
      </w:hyperlink>
      <w:r>
        <w:rPr>
          <w:sz w:val="20"/>
        </w:rPr>
        <w:t xml:space="preserve"> Переплетчик, утвержденным приказом Министерства образования и науки Российской Федерации от 2 августа 2013 г. N 797 (зарегистрирован Министерством юстиции Российской Федерации 20 августа 2013 г., регистрационный N 29642),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ноября 2023 г. N 880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29.01.36 МАСТЕР ПОЛИГРАФИЧЕСКОГО ПРОИЗВОДСТВА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w:history="0" r:id="rId17" w:tooltip="Приказ Минпросвещения России от 17.05.2022 N 336 (ред. от 25.09.2023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29.01.36</w:t>
        </w:r>
      </w:hyperlink>
      <w:r>
        <w:rPr>
          <w:sz w:val="20"/>
        </w:rPr>
        <w:t xml:space="preserve"> Мастер полиграфического производства (далее соответственно - ФГОС СПО, образовательная программа, профессия), в соответствии с квалификацией квалифицированного рабочего, служащего "мастер полиграфического производства"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Приказ Минпросвещения России от 17.05.2022 N 336 (ред. от 25.09.2023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профессии.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2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1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2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- 10 месяцев,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- 1 год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Средства массовой информации, издательство и полиграфия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4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4" w:name="P84"/>
    <w:bookmarkEnd w:id="84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2"/>
        <w:gridCol w:w="4139"/>
      </w:tblGrid>
      <w:tr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612</w:t>
            </w:r>
          </w:p>
        </w:tc>
      </w:tr>
      <w:tr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4932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w:history="0" r:id="rId2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стандарта</w:t>
              </w:r>
            </w:hyperlink>
            <w:r>
              <w:rPr>
                <w:sz w:val="20"/>
              </w:rPr>
              <w:t xml:space="preserve"> среднего общего образования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9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электронный набор различных видов текстов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настройка печатного оборудования флексографской печати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настройка печатного оборудования плоской офсетной печати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настройка печатного оборудования цифровой печати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брошюровка печатных изданий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верстка различных видов печатных изданий с использованием программных продуктов полиграфического производства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печатание на оборудовании флексографской печати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печатание на оборудовании плоской офсетной печати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печатание на оборудовании цифровой печати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переплет печатных изданий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спуска полос и его обработка в раствором процессоре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отделка полиграфической продукции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изготовление фотоформ, печатных форм и обслуживание выводного формного оборудования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реставрация изделия полиграфической продукции (по выбору).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0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"Основы полиграфического производства", "Материаловедение", "Информационные технологии в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0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history="0" w:anchor="P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29.01.36 Мастер полиграфического производства (далее соответственно - ФГОС СПО, образовательная программа, профессия), в соответствии с квалификацией квалифицированного рабочего, служащего &quot;мастер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9" w:name="P139"/>
    <w:bookmarkEnd w:id="139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0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6746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7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электронный набор различных видов текстов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Набирать и править сплошной текст с усложнениями, шрифтовыми и нешрифтовыми выделениями, шрифтами различных алфавитов и гарнитур, однострочными формулами на системах с видеоконтрольными устройствами в соответствии с нормативами времени.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Набирать и править текст с усложнениями и выделениями, содержащий шрифты нескольких иностранных алфавитов, в том числе технических, и словарей, выводов, таблиц и формул, на системах с видеоконтрольными устройствами в соответствии с нормативами времени.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Настраивать аппаратное, программное обеспечение и выводные устройства для выполнения работ.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настройка печатного оборудования флексографской печати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Подготавливать расходные материалы, технологическую оснастку, инструменты и приспособления для выполнения печатных работ на оборудовании флексографской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Настраивать печатные секции оборудования флексографской печати для выполнения задания.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Регулировать сушильные и вспомогательные устройства оборудования флексографской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Подготавливать к работе отделочные секции и устройства оборудования флексографской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Проводить отладку систем проводки запечатываемого материала оборудования флексографской печати (с листовой или рулонной подачей).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Обслуживать оборудование флексографской печати по окончании печатания тиража задания.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настройка печатного оборудования плоской офсетной печати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Подготавливать расходные материалы, технологическую оснастку, инструменты и приспособления для выполнения печатных работ на оборудовании плоской офсетной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Настраивать печатные секции оборудования плоской офсетной печати для выполнения задания.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Регулировать сушильные и вспомогательные устройства оборудования плоской офсетной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Проводить отладку системы проводки запечатываемого материала оборудования плоской офсетной печати (с листовой или рулонной подачей).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Подготавливать к работе отделочные секции и устройства оборудования плоской офсетной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Обслуживать оборудование плоской офсетной печати по окончании печатания тиража задания.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настройка печатного оборудования цифровой печати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Подготавливать материалы для выполнения работ на оборудовании цифровой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Выполнять технологическую и техническую подготовку оборудования цифровой печати к печатанию тиража.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Регулировать сушильные и вспомогательные устройства оборудования цифровой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Выполнять подготовку к работе системы проводки запечатываемого материала оборудования цифровой печати (с листовой или рулонной подачей).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Выполнять профилактическое обслуживание оборудования цифровой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Выполнять обслуживание оборудования цифровой печати по окончании работ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брошюровка печатных изданий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Фальцевать тетради.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Комплектовать печатные издания.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Скреплять печатные издания.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Доводить печатную продукцию до требуемого формата.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Присоединять дополнительные элементы к печатным изданиям.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Крыть печатные издания обложками.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верстка различных видов печатных изданий с использованием программных продуктов полиграфического производства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Формировать макет верстки полос с учетом особенностей издания в соответствии с нормативами времени.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Выполнять верстку книжных журнальных и газетных изданий с наличием до 3 форматов на полосе с использованием программных продуктов полиграфического производства с учетом требований действующих гигиенических нормативов.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Выполнять верстку многокрасочных изданий и рекламной продукции с использованием программных продуктов полиграфического производства с учетом требований действующих гигиенических нормативов.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Осуществлять сканирование и обработку иллюстраций.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печатание на оборудовании флексографской печати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Подготавливать оборудование флексографской печати к печатанию тиража задания.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Выполнять монтаж флексографских печатных форм на формные цилиндры, устанавливать формные цилиндры, растрированные валы и ракели.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печатание на оборудовании флексографской печати контрольных оттисков и тиража задания.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Осуществлять печатание на оборудовании флексографской печати тиража с проверкой качества продукции.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печатание на оборудовании плоской офсетной печати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Подготавливать оборудование плоской офсетной печати к печатанию тиража задания.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Устанавливать офсетные печатные формы, резино-тканевые полотна в печатные секции оборудования плоской офсетной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печатание на оборудовании плоской офсетной печати контрольных экземпляров продукции.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Осуществлять печатание на оборудовании плоской офсетной печати тиража задания с проверкой качества продукции.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печатание на оборудовании цифровой печати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Выполнять загрузку файлов в систему управления оборудования цифровой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Осуществлять печатание тиража на оборудовании цифровой печати.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переплет печатных изданий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Изготавливать переплетные крышки.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Круглить корешок книжного блока.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Вставлять блок в переплетную крышку.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Упаковывать издания в индивидуальную упаковку.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спуска полос и его обработка в растровом процессоре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Получать файлы оригинал-макета по электронной сети или с помощью внешнего носителя, осуществляя контроль качества полученного изображения.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Обрабатывать информацию в растровом процессоре.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отделка полиграфической продукции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Лакировать печатные оттиски.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Ламинировать печатные оттиски.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Выполнять художественное оформление печатного издания.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Производить высечку заготовок продукции.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фотоформ, печатных форм и обслуживание выводного формного оборудования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Выбирать формные пластины в зависимости от вида используемого оборудования и технологии получения печатных форм.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Осуществлять процесс формирования изображения на фотопленке или формном материале.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Осуществлять технологическую подготовку и настройку выводных устройств для обработки экспонированного материала, техническое обслуживание устройств.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4.4. Осуществлять технологическую подготовку процессора для обработки экспонированного материала, техническое обслуживание устройств.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реставрация изделия полиграфической продукции (по выбору)</w:t>
            </w:r>
          </w:p>
        </w:tc>
        <w:tc>
          <w:tcPr>
            <w:tcW w:w="67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Реставрировать печатные издания без разборки.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Реставрировать печатные издания в обложке.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Реставрировать печатные издания в переплетной крышке.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0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6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7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населения"; санитарные правила </w:t>
      </w:r>
      <w:hyperlink w:history="0" r:id="rId28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w:history="0" r:id="rId2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w:history="0" r:id="rId3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68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1 Средства массовой информации, издательство и полиграфия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68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1 Средства массовой информации, издательство и полиграфия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68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1 Средства массовой информации, издательство и полиграфия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1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32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21.11.2023 N 880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0436&amp;dst=100051" TargetMode = "External"/>
	<Relationship Id="rId8" Type="http://schemas.openxmlformats.org/officeDocument/2006/relationships/hyperlink" Target="https://login.consultant.ru/link/?req=doc&amp;base=RZB&amp;n=399342&amp;dst=100072" TargetMode = "External"/>
	<Relationship Id="rId9" Type="http://schemas.openxmlformats.org/officeDocument/2006/relationships/hyperlink" Target="https://login.consultant.ru/link/?req=doc&amp;base=RZB&amp;n=398557&amp;dst=100012" TargetMode = "External"/>
	<Relationship Id="rId10" Type="http://schemas.openxmlformats.org/officeDocument/2006/relationships/hyperlink" Target="https://login.consultant.ru/link/?req=doc&amp;base=RZB&amp;n=127684&amp;dst=100375" TargetMode = "External"/>
	<Relationship Id="rId11" Type="http://schemas.openxmlformats.org/officeDocument/2006/relationships/hyperlink" Target="https://login.consultant.ru/link/?req=doc&amp;base=RZB&amp;n=398514&amp;dst=100012" TargetMode = "External"/>
	<Relationship Id="rId12" Type="http://schemas.openxmlformats.org/officeDocument/2006/relationships/hyperlink" Target="https://login.consultant.ru/link/?req=doc&amp;base=RZB&amp;n=127684&amp;dst=100376" TargetMode = "External"/>
	<Relationship Id="rId13" Type="http://schemas.openxmlformats.org/officeDocument/2006/relationships/hyperlink" Target="https://login.consultant.ru/link/?req=doc&amp;base=RZB&amp;n=398421&amp;dst=100012" TargetMode = "External"/>
	<Relationship Id="rId14" Type="http://schemas.openxmlformats.org/officeDocument/2006/relationships/hyperlink" Target="https://login.consultant.ru/link/?req=doc&amp;base=RZB&amp;n=127684&amp;dst=100373" TargetMode = "External"/>
	<Relationship Id="rId15" Type="http://schemas.openxmlformats.org/officeDocument/2006/relationships/hyperlink" Target="https://login.consultant.ru/link/?req=doc&amp;base=RZB&amp;n=398636&amp;dst=100012" TargetMode = "External"/>
	<Relationship Id="rId16" Type="http://schemas.openxmlformats.org/officeDocument/2006/relationships/hyperlink" Target="https://login.consultant.ru/link/?req=doc&amp;base=RZB&amp;n=127684&amp;dst=100374" TargetMode = "External"/>
	<Relationship Id="rId17" Type="http://schemas.openxmlformats.org/officeDocument/2006/relationships/hyperlink" Target="https://login.consultant.ru/link/?req=doc&amp;base=RZB&amp;n=460964&amp;dst=418" TargetMode = "External"/>
	<Relationship Id="rId18" Type="http://schemas.openxmlformats.org/officeDocument/2006/relationships/hyperlink" Target="https://login.consultant.ru/link/?req=doc&amp;base=RZB&amp;n=460964&amp;dst=100022" TargetMode = "External"/>
	<Relationship Id="rId19" Type="http://schemas.openxmlformats.org/officeDocument/2006/relationships/hyperlink" Target="https://login.consultant.ru/link/?req=doc&amp;base=RZB&amp;n=426546&amp;dst=4" TargetMode = "External"/>
	<Relationship Id="rId20" Type="http://schemas.openxmlformats.org/officeDocument/2006/relationships/hyperlink" Target="https://login.consultant.ru/link/?req=doc&amp;base=RZB&amp;n=426546&amp;dst=4" TargetMode = "External"/>
	<Relationship Id="rId21" Type="http://schemas.openxmlformats.org/officeDocument/2006/relationships/hyperlink" Target="https://login.consultant.ru/link/?req=doc&amp;base=RZB&amp;n=461363&amp;dst=774" TargetMode = "External"/>
	<Relationship Id="rId22" Type="http://schemas.openxmlformats.org/officeDocument/2006/relationships/hyperlink" Target="https://login.consultant.ru/link/?req=doc&amp;base=RZB&amp;n=461363&amp;dst=100249" TargetMode = "External"/>
	<Relationship Id="rId23" Type="http://schemas.openxmlformats.org/officeDocument/2006/relationships/hyperlink" Target="https://login.consultant.ru/link/?req=doc&amp;base=RZB&amp;n=214720&amp;dst=100070" TargetMode = "External"/>
	<Relationship Id="rId24" Type="http://schemas.openxmlformats.org/officeDocument/2006/relationships/hyperlink" Target="https://login.consultant.ru/link/?req=doc&amp;base=RZB&amp;n=214720&amp;dst=100047" TargetMode = "External"/>
	<Relationship Id="rId25" Type="http://schemas.openxmlformats.org/officeDocument/2006/relationships/hyperlink" Target="https://login.consultant.ru/link/?req=doc&amp;base=RZB&amp;n=426546&amp;dst=4" TargetMode = "External"/>
	<Relationship Id="rId26" Type="http://schemas.openxmlformats.org/officeDocument/2006/relationships/hyperlink" Target="https://login.consultant.ru/link/?req=doc&amp;base=RZB&amp;n=461363&amp;dst=415" TargetMode = "External"/>
	<Relationship Id="rId27" Type="http://schemas.openxmlformats.org/officeDocument/2006/relationships/hyperlink" Target="https://login.consultant.ru/link/?req=doc&amp;base=RZB&amp;n=452886" TargetMode = "External"/>
	<Relationship Id="rId28" Type="http://schemas.openxmlformats.org/officeDocument/2006/relationships/hyperlink" Target="https://login.consultant.ru/link/?req=doc&amp;base=RZB&amp;n=371594&amp;dst=100047" TargetMode = "External"/>
	<Relationship Id="rId29" Type="http://schemas.openxmlformats.org/officeDocument/2006/relationships/hyperlink" Target="https://login.consultant.ru/link/?req=doc&amp;base=RZB&amp;n=367564&amp;dst=100037" TargetMode = "External"/>
	<Relationship Id="rId30" Type="http://schemas.openxmlformats.org/officeDocument/2006/relationships/hyperlink" Target="https://login.consultant.ru/link/?req=doc&amp;base=RZB&amp;n=441707&amp;dst=100137" TargetMode = "External"/>
	<Relationship Id="rId31" Type="http://schemas.openxmlformats.org/officeDocument/2006/relationships/hyperlink" Target="https://login.consultant.ru/link/?req=doc&amp;base=RZB&amp;n=461363" TargetMode = "External"/>
	<Relationship Id="rId32" Type="http://schemas.openxmlformats.org/officeDocument/2006/relationships/hyperlink" Target="https://login.consultant.ru/link/?req=doc&amp;base=RZB&amp;n=4707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21.11.2023 N 880
"Об утверждении федерального государственного образовательного стандарта среднего профессионального образования по профессии 29.01.36 Мастер полиграфического производства"
(Зарегистрировано в Минюсте России 21.12.2023 N 76541)</dc:title>
  <dcterms:created xsi:type="dcterms:W3CDTF">2024-05-20T12:17:38Z</dcterms:created>
</cp:coreProperties>
</file>